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85BC" w14:textId="28F52DF5" w:rsidR="00A65331" w:rsidRPr="004E01DB" w:rsidRDefault="004E01DB" w:rsidP="00A65331">
      <w:pPr>
        <w:rPr>
          <w:rFonts w:ascii="Arial" w:hAnsi="Arial" w:cs="Arial"/>
          <w:b/>
        </w:rPr>
      </w:pPr>
      <w:r w:rsidRPr="004E01DB">
        <w:rPr>
          <w:rFonts w:ascii="Arial" w:hAnsi="Arial" w:cs="Arial"/>
          <w:b/>
        </w:rPr>
        <w:t>Weekly FCP Portfolio Reflection</w:t>
      </w:r>
      <w:r w:rsidR="00F33077">
        <w:rPr>
          <w:rFonts w:ascii="Arial" w:hAnsi="Arial" w:cs="Arial"/>
          <w:b/>
        </w:rPr>
        <w:t xml:space="preserve">-(submit to supervisor weekly for </w:t>
      </w:r>
      <w:r w:rsidR="0083561F">
        <w:rPr>
          <w:rFonts w:ascii="Arial" w:hAnsi="Arial" w:cs="Arial"/>
          <w:b/>
        </w:rPr>
        <w:t>feedback</w:t>
      </w:r>
      <w:r w:rsidR="00F33077">
        <w:rPr>
          <w:rFonts w:ascii="Arial" w:hAnsi="Arial" w:cs="Arial"/>
          <w:b/>
        </w:rPr>
        <w:t xml:space="preserve">). </w:t>
      </w:r>
    </w:p>
    <w:p w14:paraId="360CA0E1" w14:textId="1D8499E7" w:rsidR="004E01DB" w:rsidRDefault="004E01DB" w:rsidP="00A65331">
      <w:pPr>
        <w:rPr>
          <w:rFonts w:ascii="Arial" w:hAnsi="Arial" w:cs="Arial"/>
        </w:rPr>
      </w:pPr>
    </w:p>
    <w:tbl>
      <w:tblPr>
        <w:tblStyle w:val="TableGrid"/>
        <w:tblW w:w="0" w:type="auto"/>
        <w:tblInd w:w="0" w:type="dxa"/>
        <w:tblLook w:val="04A0" w:firstRow="1" w:lastRow="0" w:firstColumn="1" w:lastColumn="0" w:noHBand="0" w:noVBand="1"/>
      </w:tblPr>
      <w:tblGrid>
        <w:gridCol w:w="5228"/>
        <w:gridCol w:w="5228"/>
      </w:tblGrid>
      <w:tr w:rsidR="00016841" w14:paraId="2954A579" w14:textId="77777777" w:rsidTr="00016841">
        <w:tc>
          <w:tcPr>
            <w:tcW w:w="5228" w:type="dxa"/>
          </w:tcPr>
          <w:p w14:paraId="45C2BA01" w14:textId="09FD8C3E" w:rsidR="00016841" w:rsidRPr="00016841" w:rsidRDefault="00016841" w:rsidP="00A65331">
            <w:pPr>
              <w:rPr>
                <w:rFonts w:ascii="Arial" w:hAnsi="Arial" w:cs="Arial"/>
                <w:b/>
                <w:shd w:val="clear" w:color="auto" w:fill="FAF9F8"/>
              </w:rPr>
            </w:pPr>
            <w:r w:rsidRPr="00016841">
              <w:rPr>
                <w:rFonts w:ascii="Arial" w:hAnsi="Arial" w:cs="Arial"/>
                <w:b/>
                <w:shd w:val="clear" w:color="auto" w:fill="FAF9F8"/>
              </w:rPr>
              <w:t>FCP Name</w:t>
            </w:r>
          </w:p>
        </w:tc>
        <w:tc>
          <w:tcPr>
            <w:tcW w:w="5228" w:type="dxa"/>
          </w:tcPr>
          <w:p w14:paraId="5A66804B" w14:textId="52A4F087" w:rsidR="00016841" w:rsidRDefault="009C29E6" w:rsidP="00A65331">
            <w:pPr>
              <w:rPr>
                <w:rFonts w:ascii="Arial" w:hAnsi="Arial" w:cs="Arial"/>
                <w:shd w:val="clear" w:color="auto" w:fill="FAF9F8"/>
              </w:rPr>
            </w:pPr>
            <w:proofErr w:type="spellStart"/>
            <w:r>
              <w:rPr>
                <w:rFonts w:ascii="Arial" w:hAnsi="Arial" w:cs="Arial"/>
                <w:shd w:val="clear" w:color="auto" w:fill="FAF9F8"/>
              </w:rPr>
              <w:t>xxxxx</w:t>
            </w:r>
            <w:proofErr w:type="spellEnd"/>
          </w:p>
        </w:tc>
      </w:tr>
      <w:tr w:rsidR="00016841" w14:paraId="433B85F6" w14:textId="77777777" w:rsidTr="00016841">
        <w:tc>
          <w:tcPr>
            <w:tcW w:w="5228" w:type="dxa"/>
          </w:tcPr>
          <w:p w14:paraId="2F5CDFD6" w14:textId="21EE5CD6" w:rsidR="00016841" w:rsidRPr="00016841" w:rsidRDefault="00016841" w:rsidP="00A65331">
            <w:pPr>
              <w:rPr>
                <w:rFonts w:ascii="Arial" w:hAnsi="Arial" w:cs="Arial"/>
                <w:b/>
                <w:shd w:val="clear" w:color="auto" w:fill="FAF9F8"/>
              </w:rPr>
            </w:pPr>
            <w:r w:rsidRPr="00016841">
              <w:rPr>
                <w:rFonts w:ascii="Arial" w:hAnsi="Arial" w:cs="Arial"/>
                <w:b/>
                <w:shd w:val="clear" w:color="auto" w:fill="FAF9F8"/>
              </w:rPr>
              <w:t>Clinical Supervisor</w:t>
            </w:r>
          </w:p>
        </w:tc>
        <w:tc>
          <w:tcPr>
            <w:tcW w:w="5228" w:type="dxa"/>
          </w:tcPr>
          <w:p w14:paraId="1903D628" w14:textId="7AAB916B" w:rsidR="00016841" w:rsidRDefault="009C29E6" w:rsidP="00A65331">
            <w:pPr>
              <w:rPr>
                <w:rFonts w:ascii="Arial" w:hAnsi="Arial" w:cs="Arial"/>
                <w:shd w:val="clear" w:color="auto" w:fill="FAF9F8"/>
              </w:rPr>
            </w:pPr>
            <w:proofErr w:type="spellStart"/>
            <w:r>
              <w:rPr>
                <w:rFonts w:ascii="Arial" w:hAnsi="Arial" w:cs="Arial"/>
                <w:shd w:val="clear" w:color="auto" w:fill="FAF9F8"/>
              </w:rPr>
              <w:t>xxxxx</w:t>
            </w:r>
            <w:proofErr w:type="spellEnd"/>
          </w:p>
        </w:tc>
      </w:tr>
      <w:tr w:rsidR="00016841" w14:paraId="45D5C70D" w14:textId="77777777" w:rsidTr="00016841">
        <w:tc>
          <w:tcPr>
            <w:tcW w:w="5228" w:type="dxa"/>
          </w:tcPr>
          <w:p w14:paraId="5D8F0881" w14:textId="096FF830" w:rsidR="00016841" w:rsidRPr="00016841" w:rsidRDefault="00016841" w:rsidP="00A65331">
            <w:pPr>
              <w:rPr>
                <w:rFonts w:ascii="Arial" w:hAnsi="Arial" w:cs="Arial"/>
                <w:b/>
                <w:shd w:val="clear" w:color="auto" w:fill="FAF9F8"/>
              </w:rPr>
            </w:pPr>
            <w:r w:rsidRPr="00016841">
              <w:rPr>
                <w:rFonts w:ascii="Arial" w:hAnsi="Arial" w:cs="Arial"/>
                <w:b/>
                <w:shd w:val="clear" w:color="auto" w:fill="FAF9F8"/>
              </w:rPr>
              <w:t>Date</w:t>
            </w:r>
          </w:p>
        </w:tc>
        <w:tc>
          <w:tcPr>
            <w:tcW w:w="5228" w:type="dxa"/>
          </w:tcPr>
          <w:p w14:paraId="53462A68" w14:textId="78DAE46C" w:rsidR="00016841" w:rsidRDefault="009C29E6" w:rsidP="00A65331">
            <w:pPr>
              <w:rPr>
                <w:rFonts w:ascii="Arial" w:hAnsi="Arial" w:cs="Arial"/>
                <w:shd w:val="clear" w:color="auto" w:fill="FAF9F8"/>
              </w:rPr>
            </w:pPr>
            <w:proofErr w:type="spellStart"/>
            <w:r>
              <w:rPr>
                <w:rFonts w:ascii="Arial" w:hAnsi="Arial" w:cs="Arial"/>
                <w:shd w:val="clear" w:color="auto" w:fill="FAF9F8"/>
              </w:rPr>
              <w:t>xxxxx</w:t>
            </w:r>
            <w:proofErr w:type="spellEnd"/>
          </w:p>
        </w:tc>
      </w:tr>
    </w:tbl>
    <w:p w14:paraId="02EAB13A" w14:textId="5FCDBEB7" w:rsidR="004E01DB" w:rsidRDefault="004E01DB" w:rsidP="00A65331">
      <w:pPr>
        <w:rPr>
          <w:rFonts w:ascii="Arial" w:hAnsi="Arial" w:cs="Arial"/>
          <w:shd w:val="clear" w:color="auto" w:fill="FAF9F8"/>
        </w:rPr>
      </w:pPr>
    </w:p>
    <w:p w14:paraId="3A9A7197" w14:textId="77777777" w:rsidR="004E01DB" w:rsidRDefault="004E01DB" w:rsidP="00A65331">
      <w:pPr>
        <w:rPr>
          <w:rFonts w:ascii="Arial" w:hAnsi="Arial" w:cs="Arial"/>
          <w:shd w:val="clear" w:color="auto" w:fill="FAF9F8"/>
        </w:rPr>
      </w:pPr>
    </w:p>
    <w:tbl>
      <w:tblPr>
        <w:tblStyle w:val="TableGrid"/>
        <w:tblpPr w:leftFromText="180" w:rightFromText="180" w:vertAnchor="page" w:horzAnchor="margin" w:tblpY="2971"/>
        <w:tblW w:w="10485" w:type="dxa"/>
        <w:tblInd w:w="0" w:type="dxa"/>
        <w:tblLook w:val="04A0" w:firstRow="1" w:lastRow="0" w:firstColumn="1" w:lastColumn="0" w:noHBand="0" w:noVBand="1"/>
      </w:tblPr>
      <w:tblGrid>
        <w:gridCol w:w="10485"/>
      </w:tblGrid>
      <w:tr w:rsidR="00016841" w14:paraId="17BA1CDB" w14:textId="77777777" w:rsidTr="00016841">
        <w:trPr>
          <w:trHeight w:val="702"/>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A4D0A8" w14:textId="77777777" w:rsidR="00016841" w:rsidRPr="00E8331D" w:rsidRDefault="00016841" w:rsidP="00016841">
            <w:pPr>
              <w:rPr>
                <w:rFonts w:ascii="Arial" w:hAnsi="Arial" w:cs="Arial"/>
                <w:b/>
                <w:bCs/>
              </w:rPr>
            </w:pPr>
            <w:r w:rsidRPr="00E8331D">
              <w:rPr>
                <w:rFonts w:ascii="Arial" w:hAnsi="Arial" w:cs="Arial"/>
                <w:b/>
                <w:bCs/>
              </w:rPr>
              <w:t>What happened:</w:t>
            </w:r>
          </w:p>
          <w:p w14:paraId="10E591DA" w14:textId="06DC85A3" w:rsidR="00016841" w:rsidRPr="009C29E6" w:rsidRDefault="00016841" w:rsidP="00016841">
            <w:pPr>
              <w:rPr>
                <w:rFonts w:ascii="Arial" w:hAnsi="Arial" w:cs="Arial"/>
                <w:bCs/>
                <w:i/>
                <w:iCs/>
              </w:rPr>
            </w:pPr>
            <w:r w:rsidRPr="009C29E6">
              <w:rPr>
                <w:rFonts w:ascii="Arial" w:hAnsi="Arial" w:cs="Arial"/>
                <w:bCs/>
                <w:i/>
                <w:iCs/>
              </w:rPr>
              <w:t>Describe a situation. What happened? What was your role in the situation? What actions did you take? What was the outcome? What were the consequences? What was the reaction of others? What feelings did it evoke? What was good/ bad about the experience?</w:t>
            </w:r>
          </w:p>
          <w:p w14:paraId="54FF7F1A" w14:textId="68BBEDD2" w:rsidR="009C29E6" w:rsidRDefault="009C29E6" w:rsidP="00016841">
            <w:pPr>
              <w:rPr>
                <w:rFonts w:ascii="Arial" w:hAnsi="Arial" w:cs="Arial"/>
                <w:bCs/>
              </w:rPr>
            </w:pPr>
          </w:p>
          <w:p w14:paraId="07415BE5" w14:textId="77777777" w:rsidR="009C29E6" w:rsidRPr="009C29E6" w:rsidRDefault="009C29E6" w:rsidP="009C29E6">
            <w:pPr>
              <w:rPr>
                <w:rFonts w:ascii="Arial" w:hAnsi="Arial" w:cs="Arial"/>
                <w:bCs/>
              </w:rPr>
            </w:pPr>
            <w:r w:rsidRPr="009C29E6">
              <w:rPr>
                <w:rFonts w:ascii="Arial" w:hAnsi="Arial" w:cs="Arial"/>
                <w:bCs/>
              </w:rPr>
              <w:t xml:space="preserve">A </w:t>
            </w:r>
            <w:proofErr w:type="gramStart"/>
            <w:r w:rsidRPr="009C29E6">
              <w:rPr>
                <w:rFonts w:ascii="Arial" w:hAnsi="Arial" w:cs="Arial"/>
                <w:bCs/>
              </w:rPr>
              <w:t>70 year old</w:t>
            </w:r>
            <w:proofErr w:type="gramEnd"/>
            <w:r w:rsidRPr="009C29E6">
              <w:rPr>
                <w:rFonts w:ascii="Arial" w:hAnsi="Arial" w:cs="Arial"/>
                <w:bCs/>
              </w:rPr>
              <w:t xml:space="preserve"> female patient sustained a fractured proximal humerus after a fall in February 2021 and was last seen by Orthopaedics in June, where the advice had been to continue to manage conservatively as she has reasonable function and reduced pain, the only surgical option was a reverse shoulder replacement due to displaced fragments. She had received one appointment with the NHS trust physiotherapy department which involved basic range of motion exercises, she was then discharged. The patient wondered if there was anything else she could do to aid her shoulder range of motion; her main problem was stiffness which caused periscapular pain and aching at the deltoid. She has a review planned in December 2021 with Orthopaedics, if the patient is functionally managing and pain is manageable, she will be discharged. A reverse shoulder replacement will be offered if not. </w:t>
            </w:r>
          </w:p>
          <w:p w14:paraId="5482E2B9" w14:textId="3490B46F" w:rsidR="00016841" w:rsidRPr="004E01DB" w:rsidRDefault="009C29E6" w:rsidP="00016841">
            <w:pPr>
              <w:rPr>
                <w:rFonts w:ascii="Arial" w:hAnsi="Arial" w:cs="Arial"/>
                <w:bCs/>
              </w:rPr>
            </w:pPr>
            <w:r w:rsidRPr="009C29E6">
              <w:rPr>
                <w:rFonts w:ascii="Arial" w:hAnsi="Arial" w:cs="Arial"/>
                <w:bCs/>
              </w:rPr>
              <w:t xml:space="preserve">On assessment the patient presented with a stiff shoulder, where more passive range of motion was available in comparison to active. Powers were full in the available range of motion. An explanation was provided surrounding post fracture stiffness. She was able to function </w:t>
            </w:r>
            <w:proofErr w:type="gramStart"/>
            <w:r w:rsidRPr="009C29E6">
              <w:rPr>
                <w:rFonts w:ascii="Arial" w:hAnsi="Arial" w:cs="Arial"/>
                <w:bCs/>
              </w:rPr>
              <w:t>well</w:t>
            </w:r>
            <w:proofErr w:type="gramEnd"/>
            <w:r w:rsidRPr="009C29E6">
              <w:rPr>
                <w:rFonts w:ascii="Arial" w:hAnsi="Arial" w:cs="Arial"/>
                <w:bCs/>
              </w:rPr>
              <w:t xml:space="preserve"> and pain was tolerable, she did not want to have orthopaedic surgery. These factors would be considered by Orthopaedics. Exercise progressions were provided to improve active range of motion to equal passive range of motion. It is likely the patient will be discharged from Orthopaedics.</w:t>
            </w:r>
          </w:p>
          <w:p w14:paraId="3C40A9AD" w14:textId="77777777" w:rsidR="00016841" w:rsidRPr="004E01DB" w:rsidRDefault="00016841" w:rsidP="00016841"/>
        </w:tc>
      </w:tr>
      <w:tr w:rsidR="00016841" w14:paraId="6D26E65A" w14:textId="77777777" w:rsidTr="00016841">
        <w:trPr>
          <w:trHeight w:val="744"/>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9F1AA37" w14:textId="77777777" w:rsidR="00016841" w:rsidRPr="00E8331D" w:rsidRDefault="00016841" w:rsidP="00016841">
            <w:pPr>
              <w:rPr>
                <w:rFonts w:ascii="Arial" w:hAnsi="Arial" w:cs="Arial"/>
                <w:b/>
                <w:bCs/>
              </w:rPr>
            </w:pPr>
            <w:r w:rsidRPr="00E8331D">
              <w:rPr>
                <w:rFonts w:ascii="Arial" w:hAnsi="Arial" w:cs="Arial"/>
                <w:b/>
                <w:bCs/>
              </w:rPr>
              <w:t>Differential diagnoses and clinical reasoning:</w:t>
            </w:r>
          </w:p>
          <w:p w14:paraId="271BE3B6" w14:textId="77777777" w:rsidR="00016841" w:rsidRDefault="00016841" w:rsidP="00016841">
            <w:pPr>
              <w:rPr>
                <w:rFonts w:ascii="Arial" w:hAnsi="Arial" w:cs="Arial"/>
                <w:bCs/>
              </w:rPr>
            </w:pPr>
          </w:p>
          <w:p w14:paraId="2CCEA994" w14:textId="77777777" w:rsidR="009C29E6" w:rsidRPr="009C29E6" w:rsidRDefault="009C29E6" w:rsidP="009C29E6">
            <w:pPr>
              <w:rPr>
                <w:rFonts w:ascii="Arial" w:hAnsi="Arial" w:cs="Arial"/>
                <w:bCs/>
              </w:rPr>
            </w:pPr>
            <w:r w:rsidRPr="009C29E6">
              <w:rPr>
                <w:rFonts w:ascii="Arial" w:hAnsi="Arial" w:cs="Arial"/>
                <w:bCs/>
              </w:rPr>
              <w:t>1)</w:t>
            </w:r>
            <w:r w:rsidRPr="009C29E6">
              <w:rPr>
                <w:rFonts w:ascii="Arial" w:hAnsi="Arial" w:cs="Arial"/>
                <w:bCs/>
              </w:rPr>
              <w:tab/>
              <w:t>Post fracture stiffness given the onset, the known fractures and assessment demonstrating a stiff shoulder in a capsular pattern.</w:t>
            </w:r>
          </w:p>
          <w:p w14:paraId="27D7BDF6" w14:textId="78EFAE05" w:rsidR="00016841" w:rsidRPr="004E01DB" w:rsidRDefault="009C29E6" w:rsidP="00016841">
            <w:pPr>
              <w:rPr>
                <w:rFonts w:ascii="Arial" w:hAnsi="Arial" w:cs="Arial"/>
                <w:bCs/>
              </w:rPr>
            </w:pPr>
            <w:r w:rsidRPr="009C29E6">
              <w:rPr>
                <w:rFonts w:ascii="Arial" w:hAnsi="Arial" w:cs="Arial"/>
                <w:bCs/>
              </w:rPr>
              <w:t>2)</w:t>
            </w:r>
            <w:r w:rsidRPr="009C29E6">
              <w:rPr>
                <w:rFonts w:ascii="Arial" w:hAnsi="Arial" w:cs="Arial"/>
                <w:bCs/>
              </w:rPr>
              <w:tab/>
              <w:t>Cervical spine referral, prior to the objective assessment, because of the periscapular pain and deltoid symptoms. This was excluded with a neck range of motion assessment.</w:t>
            </w:r>
          </w:p>
          <w:p w14:paraId="1A9F5259" w14:textId="77777777" w:rsidR="00016841" w:rsidRPr="004E01DB" w:rsidRDefault="00016841" w:rsidP="00016841">
            <w:pPr>
              <w:rPr>
                <w:rFonts w:ascii="Arial" w:hAnsi="Arial" w:cs="Arial"/>
              </w:rPr>
            </w:pPr>
          </w:p>
        </w:tc>
      </w:tr>
      <w:tr w:rsidR="00016841" w14:paraId="2AD8A7A9" w14:textId="77777777" w:rsidTr="00016841">
        <w:trPr>
          <w:trHeight w:val="1261"/>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85FEDDE" w14:textId="69DD6040" w:rsidR="00016841" w:rsidRPr="00E8331D" w:rsidRDefault="00016841" w:rsidP="00016841">
            <w:pPr>
              <w:rPr>
                <w:rFonts w:ascii="Arial" w:hAnsi="Arial" w:cs="Arial"/>
                <w:b/>
                <w:bCs/>
              </w:rPr>
            </w:pPr>
            <w:r w:rsidRPr="00E8331D">
              <w:rPr>
                <w:rFonts w:ascii="Arial" w:hAnsi="Arial" w:cs="Arial"/>
                <w:b/>
                <w:bCs/>
              </w:rPr>
              <w:t>Reflection- what did you learn:</w:t>
            </w:r>
          </w:p>
          <w:p w14:paraId="6550A74B" w14:textId="622EE6F3" w:rsidR="009C29E6" w:rsidRPr="009C29E6" w:rsidRDefault="00016841" w:rsidP="00016841">
            <w:pPr>
              <w:rPr>
                <w:rFonts w:ascii="Arial" w:hAnsi="Arial" w:cs="Arial"/>
                <w:bCs/>
                <w:i/>
                <w:iCs/>
              </w:rPr>
            </w:pPr>
            <w:r w:rsidRPr="009C29E6">
              <w:rPr>
                <w:rFonts w:ascii="Arial" w:hAnsi="Arial" w:cs="Arial"/>
                <w:bCs/>
                <w:i/>
                <w:iCs/>
              </w:rPr>
              <w:t xml:space="preserve">Discuss what you learnt. What does this mean? What were your thoughts as you acted? What did you base your actions on? What </w:t>
            </w:r>
            <w:proofErr w:type="gramStart"/>
            <w:r w:rsidRPr="009C29E6">
              <w:rPr>
                <w:rFonts w:ascii="Arial" w:hAnsi="Arial" w:cs="Arial"/>
                <w:bCs/>
                <w:i/>
                <w:iCs/>
              </w:rPr>
              <w:t>other</w:t>
            </w:r>
            <w:proofErr w:type="gramEnd"/>
            <w:r w:rsidRPr="009C29E6">
              <w:rPr>
                <w:rFonts w:ascii="Arial" w:hAnsi="Arial" w:cs="Arial"/>
                <w:bCs/>
                <w:i/>
                <w:iCs/>
              </w:rPr>
              <w:t xml:space="preserve"> knowledge can I bring to the situation? What could/ should I have done to make it better? What did I do well? What is my new understanding of the situation? What are the broader issues that arise from the situation?</w:t>
            </w:r>
          </w:p>
          <w:p w14:paraId="4DD73E4F" w14:textId="77777777" w:rsidR="00016841" w:rsidRDefault="00016841" w:rsidP="00016841">
            <w:pPr>
              <w:rPr>
                <w:rFonts w:ascii="Arial" w:hAnsi="Arial" w:cs="Arial"/>
                <w:bCs/>
              </w:rPr>
            </w:pPr>
          </w:p>
          <w:p w14:paraId="557E2CA6" w14:textId="069EEC03" w:rsidR="00016841" w:rsidRPr="004E01DB" w:rsidRDefault="009C29E6" w:rsidP="00016841">
            <w:pPr>
              <w:rPr>
                <w:rFonts w:ascii="Arial" w:hAnsi="Arial" w:cs="Arial"/>
                <w:bCs/>
              </w:rPr>
            </w:pPr>
            <w:r w:rsidRPr="009C29E6">
              <w:rPr>
                <w:rFonts w:ascii="Arial" w:hAnsi="Arial" w:cs="Arial"/>
                <w:bCs/>
              </w:rPr>
              <w:t>I learned that Orthopaedics can be limited in their fracture management dependant on the type of fracture, for example this was termed a four-part fracture and only a reverse shoulder replacement could be offered due to the risk of avascular necrosis. I learned that the assessment from an FCP point of view prevented a re-referral to the trust physiotherapy service as the patient was happy to self-manage and await Orthopaedic review, prior to likely discharge.</w:t>
            </w:r>
          </w:p>
          <w:p w14:paraId="6483AEE0" w14:textId="77777777" w:rsidR="00016841" w:rsidRPr="004E01DB" w:rsidRDefault="00016841" w:rsidP="00016841">
            <w:pPr>
              <w:rPr>
                <w:rFonts w:ascii="Arial" w:hAnsi="Arial" w:cs="Arial"/>
              </w:rPr>
            </w:pPr>
          </w:p>
        </w:tc>
      </w:tr>
      <w:tr w:rsidR="00016841" w14:paraId="0DD2C8D5" w14:textId="77777777" w:rsidTr="00016841">
        <w:trPr>
          <w:trHeight w:val="744"/>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4A4C188" w14:textId="77777777" w:rsidR="00016841" w:rsidRPr="00E8331D" w:rsidRDefault="00016841" w:rsidP="00016841">
            <w:pPr>
              <w:rPr>
                <w:rFonts w:ascii="Arial" w:hAnsi="Arial" w:cs="Arial"/>
                <w:b/>
                <w:bCs/>
              </w:rPr>
            </w:pPr>
            <w:r w:rsidRPr="00E8331D">
              <w:rPr>
                <w:rFonts w:ascii="Arial" w:hAnsi="Arial" w:cs="Arial"/>
                <w:b/>
                <w:bCs/>
              </w:rPr>
              <w:t>Impact on your practice—what will you do the same or differently next time and why:</w:t>
            </w:r>
          </w:p>
          <w:p w14:paraId="17910842" w14:textId="77777777" w:rsidR="00016841" w:rsidRPr="009C29E6" w:rsidRDefault="00016841" w:rsidP="00016841">
            <w:pPr>
              <w:rPr>
                <w:rFonts w:ascii="Arial" w:hAnsi="Arial" w:cs="Arial"/>
                <w:i/>
                <w:iCs/>
              </w:rPr>
            </w:pPr>
            <w:r w:rsidRPr="009C29E6">
              <w:rPr>
                <w:rFonts w:ascii="Arial" w:hAnsi="Arial" w:cs="Arial"/>
                <w:i/>
                <w:iCs/>
              </w:rPr>
              <w:t>What do I need to do in future to improve future outcomes and develop your learning?</w:t>
            </w:r>
          </w:p>
          <w:p w14:paraId="31F6775C" w14:textId="77777777" w:rsidR="00016841" w:rsidRPr="009C29E6" w:rsidRDefault="00016841" w:rsidP="00016841">
            <w:pPr>
              <w:rPr>
                <w:rFonts w:ascii="Arial" w:hAnsi="Arial" w:cs="Arial"/>
                <w:i/>
                <w:iCs/>
              </w:rPr>
            </w:pPr>
            <w:r w:rsidRPr="009C29E6">
              <w:rPr>
                <w:rFonts w:ascii="Arial" w:hAnsi="Arial" w:cs="Arial"/>
                <w:i/>
                <w:iCs/>
              </w:rPr>
              <w:t>How might that change the outcome of the situation next time?</w:t>
            </w:r>
          </w:p>
          <w:p w14:paraId="68756755" w14:textId="3D63C550" w:rsidR="00016841" w:rsidRPr="009C29E6" w:rsidRDefault="00016841" w:rsidP="00016841">
            <w:pPr>
              <w:rPr>
                <w:rFonts w:ascii="Arial" w:hAnsi="Arial" w:cs="Arial"/>
                <w:i/>
                <w:iCs/>
              </w:rPr>
            </w:pPr>
            <w:r w:rsidRPr="009C29E6">
              <w:rPr>
                <w:rFonts w:ascii="Arial" w:hAnsi="Arial" w:cs="Arial"/>
                <w:i/>
                <w:iCs/>
              </w:rPr>
              <w:lastRenderedPageBreak/>
              <w:t>What time frame will you do it in?</w:t>
            </w:r>
          </w:p>
          <w:p w14:paraId="7B0A12F3" w14:textId="77777777" w:rsidR="00016841" w:rsidRDefault="00016841" w:rsidP="00016841">
            <w:pPr>
              <w:rPr>
                <w:rFonts w:ascii="Arial" w:hAnsi="Arial" w:cs="Arial"/>
              </w:rPr>
            </w:pPr>
          </w:p>
          <w:p w14:paraId="0FEF12D5" w14:textId="30E25F08" w:rsidR="00016841" w:rsidRDefault="009C29E6" w:rsidP="00016841">
            <w:pPr>
              <w:rPr>
                <w:rFonts w:ascii="Arial" w:hAnsi="Arial" w:cs="Arial"/>
              </w:rPr>
            </w:pPr>
            <w:r w:rsidRPr="009C29E6">
              <w:rPr>
                <w:rFonts w:ascii="Arial" w:hAnsi="Arial" w:cs="Arial"/>
              </w:rPr>
              <w:t>I will continue to encourage patients who are contemplating Orthopaedic surgery to consider their current pain levels and function, then consider what they may or may not gain post-operatively. This means the patient is informed on what to expect and whether surgery and the associated risks outweigh the benefits. In other cases, it would also guide referral to Orthopaedics.</w:t>
            </w:r>
          </w:p>
          <w:p w14:paraId="61B23CC9" w14:textId="77777777" w:rsidR="00016841" w:rsidRPr="00E918E8" w:rsidRDefault="00016841" w:rsidP="00016841">
            <w:pPr>
              <w:rPr>
                <w:rFonts w:ascii="Arial" w:hAnsi="Arial" w:cs="Arial"/>
              </w:rPr>
            </w:pPr>
          </w:p>
        </w:tc>
      </w:tr>
      <w:tr w:rsidR="00016841" w14:paraId="15E0694C" w14:textId="77777777" w:rsidTr="00016841">
        <w:trPr>
          <w:trHeight w:val="702"/>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5F75D0" w14:textId="7BFA82F7" w:rsidR="00016841" w:rsidRPr="00E8331D" w:rsidRDefault="00016841" w:rsidP="00016841">
            <w:pPr>
              <w:rPr>
                <w:rFonts w:ascii="Arial" w:hAnsi="Arial" w:cs="Arial"/>
                <w:b/>
                <w:bCs/>
              </w:rPr>
            </w:pPr>
            <w:r w:rsidRPr="00E8331D">
              <w:rPr>
                <w:rFonts w:ascii="Arial" w:hAnsi="Arial" w:cs="Arial"/>
                <w:b/>
                <w:bCs/>
              </w:rPr>
              <w:t>Supervisor’s comments- competencies demonstrated, learning points:</w:t>
            </w:r>
          </w:p>
          <w:p w14:paraId="05378EA6" w14:textId="77777777" w:rsidR="00016841" w:rsidRDefault="00016841" w:rsidP="00016841">
            <w:pPr>
              <w:rPr>
                <w:rFonts w:ascii="Arial" w:hAnsi="Arial" w:cs="Arial"/>
                <w:bCs/>
              </w:rPr>
            </w:pPr>
          </w:p>
          <w:p w14:paraId="5997E989" w14:textId="77777777" w:rsidR="009C29E6" w:rsidRPr="009C29E6" w:rsidRDefault="009C29E6" w:rsidP="009C29E6">
            <w:pPr>
              <w:rPr>
                <w:rFonts w:ascii="Arial" w:hAnsi="Arial" w:cs="Arial"/>
                <w:bCs/>
              </w:rPr>
            </w:pPr>
            <w:r w:rsidRPr="009C29E6">
              <w:rPr>
                <w:rFonts w:ascii="Arial" w:hAnsi="Arial" w:cs="Arial"/>
                <w:bCs/>
              </w:rPr>
              <w:t xml:space="preserve">You ascertain the patients expectations well which guides your management. Good recognition of the MECC approach and reducing the burden on other services by not referring to the local Trust Physiotherapy team.  Expected benefits and limitations of surgical intervention explained well. </w:t>
            </w:r>
          </w:p>
          <w:p w14:paraId="33E71DEA" w14:textId="77777777" w:rsidR="009C29E6" w:rsidRPr="009C29E6" w:rsidRDefault="009C29E6" w:rsidP="009C29E6">
            <w:pPr>
              <w:rPr>
                <w:rFonts w:ascii="Arial" w:hAnsi="Arial" w:cs="Arial"/>
                <w:bCs/>
              </w:rPr>
            </w:pPr>
          </w:p>
          <w:p w14:paraId="44735820" w14:textId="77777777" w:rsidR="009C29E6" w:rsidRPr="009C29E6" w:rsidRDefault="009C29E6" w:rsidP="009C29E6">
            <w:pPr>
              <w:rPr>
                <w:rFonts w:ascii="Arial" w:hAnsi="Arial" w:cs="Arial"/>
                <w:bCs/>
              </w:rPr>
            </w:pPr>
            <w:r w:rsidRPr="009C29E6">
              <w:rPr>
                <w:rFonts w:ascii="Arial" w:hAnsi="Arial" w:cs="Arial"/>
                <w:bCs/>
              </w:rPr>
              <w:t xml:space="preserve">Consider other reasons why patients may not be Orthopaedic candidates such as PMH including frailty, bone health etc. This lady may have had no co-morbidities.  </w:t>
            </w:r>
          </w:p>
          <w:p w14:paraId="18088D5B" w14:textId="77777777" w:rsidR="009C29E6" w:rsidRPr="009C29E6" w:rsidRDefault="009C29E6" w:rsidP="009C29E6">
            <w:pPr>
              <w:rPr>
                <w:rFonts w:ascii="Arial" w:hAnsi="Arial" w:cs="Arial"/>
                <w:bCs/>
              </w:rPr>
            </w:pPr>
          </w:p>
          <w:p w14:paraId="3B390461" w14:textId="3802DD84" w:rsidR="00016841" w:rsidRPr="00E918E8" w:rsidRDefault="009C29E6" w:rsidP="00016841">
            <w:pPr>
              <w:rPr>
                <w:rFonts w:ascii="Arial" w:hAnsi="Arial" w:cs="Arial"/>
                <w:bCs/>
              </w:rPr>
            </w:pPr>
            <w:r w:rsidRPr="009C29E6">
              <w:rPr>
                <w:rFonts w:ascii="Arial" w:hAnsi="Arial" w:cs="Arial"/>
                <w:bCs/>
              </w:rPr>
              <w:t>A1-2, B3,4. C10,11.</w:t>
            </w:r>
          </w:p>
          <w:p w14:paraId="1569C612" w14:textId="77777777" w:rsidR="00016841" w:rsidRPr="00E918E8" w:rsidRDefault="00016841" w:rsidP="00016841">
            <w:pPr>
              <w:rPr>
                <w:rFonts w:ascii="Arial" w:hAnsi="Arial" w:cs="Arial"/>
                <w:bCs/>
              </w:rPr>
            </w:pPr>
          </w:p>
        </w:tc>
      </w:tr>
    </w:tbl>
    <w:p w14:paraId="22A27D07" w14:textId="77777777" w:rsidR="004E01DB" w:rsidRDefault="004E01DB" w:rsidP="00016841">
      <w:pPr>
        <w:rPr>
          <w:rFonts w:ascii="Arial" w:hAnsi="Arial" w:cs="Arial"/>
          <w:shd w:val="clear" w:color="auto" w:fill="FAF9F8"/>
        </w:rPr>
      </w:pPr>
    </w:p>
    <w:sectPr w:rsidR="004E01DB" w:rsidSect="00620414">
      <w:headerReference w:type="default" r:id="rId10"/>
      <w:footerReference w:type="default" r:id="rId11"/>
      <w:pgSz w:w="11906" w:h="16838"/>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3D5A5" w14:textId="77777777" w:rsidR="0095092C" w:rsidRDefault="0095092C" w:rsidP="004E01DB">
      <w:r>
        <w:separator/>
      </w:r>
    </w:p>
  </w:endnote>
  <w:endnote w:type="continuationSeparator" w:id="0">
    <w:p w14:paraId="14AF2ACD" w14:textId="77777777" w:rsidR="0095092C" w:rsidRDefault="0095092C" w:rsidP="004E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D851" w14:textId="211F6526" w:rsidR="004E01DB" w:rsidRDefault="004E01DB">
    <w:pPr>
      <w:pStyle w:val="Footer"/>
    </w:pPr>
    <w:r>
      <w:rPr>
        <w:noProof/>
        <w:lang w:eastAsia="en-GB"/>
      </w:rPr>
      <w:drawing>
        <wp:inline distT="0" distB="0" distL="0" distR="0" wp14:anchorId="4C78153B" wp14:editId="6816977F">
          <wp:extent cx="2000250" cy="33642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2147377" cy="3611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B0656" w14:textId="77777777" w:rsidR="0095092C" w:rsidRDefault="0095092C" w:rsidP="004E01DB">
      <w:r>
        <w:separator/>
      </w:r>
    </w:p>
  </w:footnote>
  <w:footnote w:type="continuationSeparator" w:id="0">
    <w:p w14:paraId="1A7B8E79" w14:textId="77777777" w:rsidR="0095092C" w:rsidRDefault="0095092C" w:rsidP="004E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2C59" w14:textId="3450BDDF" w:rsidR="00620414" w:rsidRDefault="00620414" w:rsidP="00620414">
    <w:pPr>
      <w:pStyle w:val="Header"/>
      <w:jc w:val="center"/>
    </w:pPr>
    <w:r>
      <w:t>Appendix 4</w:t>
    </w:r>
  </w:p>
  <w:p w14:paraId="2862D9FF" w14:textId="77777777" w:rsidR="00620414" w:rsidRDefault="00620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74F2D"/>
    <w:multiLevelType w:val="hybridMultilevel"/>
    <w:tmpl w:val="2B9A253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331"/>
    <w:rsid w:val="00016841"/>
    <w:rsid w:val="001C7C5F"/>
    <w:rsid w:val="00275048"/>
    <w:rsid w:val="004E01DB"/>
    <w:rsid w:val="00620414"/>
    <w:rsid w:val="0083561F"/>
    <w:rsid w:val="0095092C"/>
    <w:rsid w:val="009C29E6"/>
    <w:rsid w:val="00A65331"/>
    <w:rsid w:val="00B45F66"/>
    <w:rsid w:val="00C64BD6"/>
    <w:rsid w:val="00E8331D"/>
    <w:rsid w:val="00E918E8"/>
    <w:rsid w:val="00F33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53546"/>
  <w15:chartTrackingRefBased/>
  <w15:docId w15:val="{A9E77021-F509-4276-AFF1-043FCB2D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33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31"/>
    <w:pPr>
      <w:ind w:left="720"/>
      <w:contextualSpacing/>
    </w:pPr>
  </w:style>
  <w:style w:type="table" w:styleId="TableGrid">
    <w:name w:val="Table Grid"/>
    <w:basedOn w:val="TableNormal"/>
    <w:uiPriority w:val="39"/>
    <w:rsid w:val="00A653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1DB"/>
    <w:pPr>
      <w:tabs>
        <w:tab w:val="center" w:pos="4513"/>
        <w:tab w:val="right" w:pos="9026"/>
      </w:tabs>
    </w:pPr>
  </w:style>
  <w:style w:type="character" w:customStyle="1" w:styleId="HeaderChar">
    <w:name w:val="Header Char"/>
    <w:basedOn w:val="DefaultParagraphFont"/>
    <w:link w:val="Header"/>
    <w:uiPriority w:val="99"/>
    <w:rsid w:val="004E01DB"/>
    <w:rPr>
      <w:sz w:val="24"/>
      <w:szCs w:val="24"/>
    </w:rPr>
  </w:style>
  <w:style w:type="paragraph" w:styleId="Footer">
    <w:name w:val="footer"/>
    <w:basedOn w:val="Normal"/>
    <w:link w:val="FooterChar"/>
    <w:uiPriority w:val="99"/>
    <w:unhideWhenUsed/>
    <w:rsid w:val="004E01DB"/>
    <w:pPr>
      <w:tabs>
        <w:tab w:val="center" w:pos="4513"/>
        <w:tab w:val="right" w:pos="9026"/>
      </w:tabs>
    </w:pPr>
  </w:style>
  <w:style w:type="character" w:customStyle="1" w:styleId="FooterChar">
    <w:name w:val="Footer Char"/>
    <w:basedOn w:val="DefaultParagraphFont"/>
    <w:link w:val="Footer"/>
    <w:uiPriority w:val="99"/>
    <w:rsid w:val="004E01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7" ma:contentTypeDescription="Create a new document." ma:contentTypeScope="" ma:versionID="d7eca582f9318c32c427524b673793b1">
  <xsd:schema xmlns:xsd="http://www.w3.org/2001/XMLSchema" xmlns:xs="http://www.w3.org/2001/XMLSchema" xmlns:p="http://schemas.microsoft.com/office/2006/metadata/properties" xmlns:ns3="32678723-8c06-45e1-8bd0-318b9868a43d" xmlns:ns4="5789755c-de38-4fe3-9623-40afa3bba1e2" targetNamespace="http://schemas.microsoft.com/office/2006/metadata/properties" ma:root="true" ma:fieldsID="dc857f9ec46dcf65fa66e74f85275ed4" ns3:_="" ns4:_="">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D942A-AE7B-45DA-94BE-06A24BAEDC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E4AFFC-83EE-47E2-A51C-7D6A5A0CCC26}">
  <ds:schemaRefs>
    <ds:schemaRef ds:uri="http://schemas.microsoft.com/sharepoint/v3/contenttype/forms"/>
  </ds:schemaRefs>
</ds:datastoreItem>
</file>

<file path=customXml/itemProps3.xml><?xml version="1.0" encoding="utf-8"?>
<ds:datastoreItem xmlns:ds="http://schemas.openxmlformats.org/officeDocument/2006/customXml" ds:itemID="{4DD7C670-BE1F-4E57-B9D7-6B0A743BC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Faye (NHS HULL CCG)</dc:creator>
  <cp:keywords/>
  <dc:description/>
  <cp:lastModifiedBy>ABRAMSON, Darren (NHS HULL CCG)</cp:lastModifiedBy>
  <cp:revision>2</cp:revision>
  <dcterms:created xsi:type="dcterms:W3CDTF">2022-03-18T16:38:00Z</dcterms:created>
  <dcterms:modified xsi:type="dcterms:W3CDTF">2022-03-18T16:38:00Z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