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85BC" w14:textId="28F52DF5" w:rsidR="00A65331" w:rsidRPr="004E01DB" w:rsidRDefault="004E01DB" w:rsidP="00A65331">
      <w:pPr>
        <w:rPr>
          <w:rFonts w:ascii="Arial" w:hAnsi="Arial" w:cs="Arial"/>
          <w:b/>
        </w:rPr>
      </w:pPr>
      <w:r w:rsidRPr="004E01DB">
        <w:rPr>
          <w:rFonts w:ascii="Arial" w:hAnsi="Arial" w:cs="Arial"/>
          <w:b/>
        </w:rPr>
        <w:t>Weekly FCP Portfolio Reflection</w:t>
      </w:r>
      <w:r w:rsidR="00F33077">
        <w:rPr>
          <w:rFonts w:ascii="Arial" w:hAnsi="Arial" w:cs="Arial"/>
          <w:b/>
        </w:rPr>
        <w:t xml:space="preserve">-(submit to supervisor weekly for </w:t>
      </w:r>
      <w:r w:rsidR="0083561F">
        <w:rPr>
          <w:rFonts w:ascii="Arial" w:hAnsi="Arial" w:cs="Arial"/>
          <w:b/>
        </w:rPr>
        <w:t>feedback</w:t>
      </w:r>
      <w:r w:rsidR="00F33077">
        <w:rPr>
          <w:rFonts w:ascii="Arial" w:hAnsi="Arial" w:cs="Arial"/>
          <w:b/>
        </w:rPr>
        <w:t xml:space="preserve">). </w:t>
      </w:r>
    </w:p>
    <w:p w14:paraId="360CA0E1" w14:textId="1D8499E7" w:rsidR="004E01DB" w:rsidRDefault="004E01DB" w:rsidP="00A65331">
      <w:pPr>
        <w:rPr>
          <w:rFonts w:ascii="Arial" w:hAnsi="Arial" w:cs="Arial"/>
        </w:rPr>
      </w:pPr>
    </w:p>
    <w:tbl>
      <w:tblPr>
        <w:tblStyle w:val="TableGrid"/>
        <w:tblW w:w="0" w:type="auto"/>
        <w:tblInd w:w="0" w:type="dxa"/>
        <w:tblLook w:val="04A0" w:firstRow="1" w:lastRow="0" w:firstColumn="1" w:lastColumn="0" w:noHBand="0" w:noVBand="1"/>
      </w:tblPr>
      <w:tblGrid>
        <w:gridCol w:w="5228"/>
        <w:gridCol w:w="5228"/>
      </w:tblGrid>
      <w:tr w:rsidR="00016841" w14:paraId="2954A579" w14:textId="77777777" w:rsidTr="00016841">
        <w:tc>
          <w:tcPr>
            <w:tcW w:w="5228" w:type="dxa"/>
          </w:tcPr>
          <w:p w14:paraId="45C2BA01" w14:textId="09FD8C3E" w:rsidR="00016841" w:rsidRPr="00016841" w:rsidRDefault="00016841" w:rsidP="00A65331">
            <w:pPr>
              <w:rPr>
                <w:rFonts w:ascii="Arial" w:hAnsi="Arial" w:cs="Arial"/>
                <w:b/>
                <w:shd w:val="clear" w:color="auto" w:fill="FAF9F8"/>
              </w:rPr>
            </w:pPr>
            <w:r w:rsidRPr="00016841">
              <w:rPr>
                <w:rFonts w:ascii="Arial" w:hAnsi="Arial" w:cs="Arial"/>
                <w:b/>
                <w:shd w:val="clear" w:color="auto" w:fill="FAF9F8"/>
              </w:rPr>
              <w:t>FCP Name</w:t>
            </w:r>
          </w:p>
        </w:tc>
        <w:tc>
          <w:tcPr>
            <w:tcW w:w="5228" w:type="dxa"/>
          </w:tcPr>
          <w:p w14:paraId="5A66804B" w14:textId="4B4A78AF" w:rsidR="00016841" w:rsidRDefault="00C15058" w:rsidP="00A65331">
            <w:pPr>
              <w:rPr>
                <w:rFonts w:ascii="Arial" w:hAnsi="Arial" w:cs="Arial"/>
                <w:shd w:val="clear" w:color="auto" w:fill="FAF9F8"/>
              </w:rPr>
            </w:pPr>
            <w:proofErr w:type="spellStart"/>
            <w:r>
              <w:rPr>
                <w:rFonts w:ascii="Arial" w:hAnsi="Arial" w:cs="Arial"/>
                <w:shd w:val="clear" w:color="auto" w:fill="FAF9F8"/>
              </w:rPr>
              <w:t>xxxxx</w:t>
            </w:r>
            <w:proofErr w:type="spellEnd"/>
          </w:p>
        </w:tc>
      </w:tr>
      <w:tr w:rsidR="00016841" w14:paraId="433B85F6" w14:textId="77777777" w:rsidTr="00016841">
        <w:tc>
          <w:tcPr>
            <w:tcW w:w="5228" w:type="dxa"/>
          </w:tcPr>
          <w:p w14:paraId="2F5CDFD6" w14:textId="21EE5CD6" w:rsidR="00016841" w:rsidRPr="00016841" w:rsidRDefault="00016841" w:rsidP="00A65331">
            <w:pPr>
              <w:rPr>
                <w:rFonts w:ascii="Arial" w:hAnsi="Arial" w:cs="Arial"/>
                <w:b/>
                <w:shd w:val="clear" w:color="auto" w:fill="FAF9F8"/>
              </w:rPr>
            </w:pPr>
            <w:r w:rsidRPr="00016841">
              <w:rPr>
                <w:rFonts w:ascii="Arial" w:hAnsi="Arial" w:cs="Arial"/>
                <w:b/>
                <w:shd w:val="clear" w:color="auto" w:fill="FAF9F8"/>
              </w:rPr>
              <w:t>Clinical Supervisor</w:t>
            </w:r>
          </w:p>
        </w:tc>
        <w:tc>
          <w:tcPr>
            <w:tcW w:w="5228" w:type="dxa"/>
          </w:tcPr>
          <w:p w14:paraId="1903D628" w14:textId="4CC4D361" w:rsidR="00016841" w:rsidRDefault="00C15058" w:rsidP="00A65331">
            <w:pPr>
              <w:rPr>
                <w:rFonts w:ascii="Arial" w:hAnsi="Arial" w:cs="Arial"/>
                <w:shd w:val="clear" w:color="auto" w:fill="FAF9F8"/>
              </w:rPr>
            </w:pPr>
            <w:proofErr w:type="spellStart"/>
            <w:r>
              <w:rPr>
                <w:rFonts w:ascii="Arial" w:hAnsi="Arial" w:cs="Arial"/>
                <w:shd w:val="clear" w:color="auto" w:fill="FAF9F8"/>
              </w:rPr>
              <w:t>xxxxx</w:t>
            </w:r>
            <w:proofErr w:type="spellEnd"/>
          </w:p>
        </w:tc>
      </w:tr>
      <w:tr w:rsidR="00016841" w14:paraId="45D5C70D" w14:textId="77777777" w:rsidTr="00016841">
        <w:tc>
          <w:tcPr>
            <w:tcW w:w="5228" w:type="dxa"/>
          </w:tcPr>
          <w:p w14:paraId="5D8F0881" w14:textId="096FF830" w:rsidR="00016841" w:rsidRPr="00016841" w:rsidRDefault="00016841" w:rsidP="00A65331">
            <w:pPr>
              <w:rPr>
                <w:rFonts w:ascii="Arial" w:hAnsi="Arial" w:cs="Arial"/>
                <w:b/>
                <w:shd w:val="clear" w:color="auto" w:fill="FAF9F8"/>
              </w:rPr>
            </w:pPr>
            <w:r w:rsidRPr="00016841">
              <w:rPr>
                <w:rFonts w:ascii="Arial" w:hAnsi="Arial" w:cs="Arial"/>
                <w:b/>
                <w:shd w:val="clear" w:color="auto" w:fill="FAF9F8"/>
              </w:rPr>
              <w:t>Date</w:t>
            </w:r>
          </w:p>
        </w:tc>
        <w:tc>
          <w:tcPr>
            <w:tcW w:w="5228" w:type="dxa"/>
          </w:tcPr>
          <w:p w14:paraId="53462A68" w14:textId="78C789CC" w:rsidR="00016841" w:rsidRDefault="00C15058" w:rsidP="00A65331">
            <w:pPr>
              <w:rPr>
                <w:rFonts w:ascii="Arial" w:hAnsi="Arial" w:cs="Arial"/>
                <w:shd w:val="clear" w:color="auto" w:fill="FAF9F8"/>
              </w:rPr>
            </w:pPr>
            <w:proofErr w:type="spellStart"/>
            <w:r>
              <w:rPr>
                <w:rFonts w:ascii="Arial" w:hAnsi="Arial" w:cs="Arial"/>
                <w:shd w:val="clear" w:color="auto" w:fill="FAF9F8"/>
              </w:rPr>
              <w:t>xxxxx</w:t>
            </w:r>
            <w:proofErr w:type="spellEnd"/>
          </w:p>
        </w:tc>
      </w:tr>
    </w:tbl>
    <w:p w14:paraId="3A9A7197" w14:textId="77777777" w:rsidR="004E01DB" w:rsidRDefault="004E01DB" w:rsidP="00A65331">
      <w:pPr>
        <w:rPr>
          <w:rFonts w:ascii="Arial" w:hAnsi="Arial" w:cs="Arial"/>
          <w:shd w:val="clear" w:color="auto" w:fill="FAF9F8"/>
        </w:rPr>
      </w:pPr>
    </w:p>
    <w:tbl>
      <w:tblPr>
        <w:tblStyle w:val="TableGrid"/>
        <w:tblpPr w:leftFromText="180" w:rightFromText="180" w:vertAnchor="page" w:horzAnchor="margin" w:tblpY="2971"/>
        <w:tblW w:w="10485" w:type="dxa"/>
        <w:tblInd w:w="0" w:type="dxa"/>
        <w:tblLook w:val="04A0" w:firstRow="1" w:lastRow="0" w:firstColumn="1" w:lastColumn="0" w:noHBand="0" w:noVBand="1"/>
      </w:tblPr>
      <w:tblGrid>
        <w:gridCol w:w="10485"/>
      </w:tblGrid>
      <w:tr w:rsidR="00016841" w14:paraId="17BA1CDB" w14:textId="77777777" w:rsidTr="00016841">
        <w:trPr>
          <w:trHeight w:val="702"/>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A4D0A8" w14:textId="77777777" w:rsidR="00016841" w:rsidRPr="00E8331D" w:rsidRDefault="00016841" w:rsidP="00016841">
            <w:pPr>
              <w:rPr>
                <w:rFonts w:ascii="Arial" w:hAnsi="Arial" w:cs="Arial"/>
                <w:b/>
                <w:bCs/>
              </w:rPr>
            </w:pPr>
            <w:r w:rsidRPr="00E8331D">
              <w:rPr>
                <w:rFonts w:ascii="Arial" w:hAnsi="Arial" w:cs="Arial"/>
                <w:b/>
                <w:bCs/>
              </w:rPr>
              <w:t>What happened:</w:t>
            </w:r>
          </w:p>
          <w:p w14:paraId="10E591DA" w14:textId="59B9478C" w:rsidR="00016841" w:rsidRPr="00C15058" w:rsidRDefault="00016841" w:rsidP="00016841">
            <w:pPr>
              <w:rPr>
                <w:rFonts w:ascii="Arial" w:hAnsi="Arial" w:cs="Arial"/>
                <w:bCs/>
                <w:i/>
                <w:iCs/>
              </w:rPr>
            </w:pPr>
            <w:r w:rsidRPr="00C15058">
              <w:rPr>
                <w:rFonts w:ascii="Arial" w:hAnsi="Arial" w:cs="Arial"/>
                <w:bCs/>
                <w:i/>
                <w:iCs/>
              </w:rPr>
              <w:t>Describe a situation. What happened? What was your role in the situation? What actions did you take? What was the outcome? What were the consequences? What was the reaction of others? What feelings did it evoke? What was good/ bad about the experience?</w:t>
            </w:r>
          </w:p>
          <w:p w14:paraId="7C778822" w14:textId="77777777" w:rsidR="00C15058" w:rsidRPr="00C15058" w:rsidRDefault="00C15058" w:rsidP="00C15058">
            <w:pPr>
              <w:rPr>
                <w:rFonts w:ascii="Arial" w:hAnsi="Arial" w:cs="Arial"/>
                <w:bCs/>
              </w:rPr>
            </w:pPr>
            <w:r w:rsidRPr="00C15058">
              <w:rPr>
                <w:rFonts w:ascii="Arial" w:hAnsi="Arial" w:cs="Arial"/>
                <w:bCs/>
              </w:rPr>
              <w:t xml:space="preserve">A 36-year-old female patient was reviewed in my </w:t>
            </w:r>
            <w:proofErr w:type="gramStart"/>
            <w:r w:rsidRPr="00C15058">
              <w:rPr>
                <w:rFonts w:ascii="Arial" w:hAnsi="Arial" w:cs="Arial"/>
                <w:bCs/>
              </w:rPr>
              <w:t>face to face</w:t>
            </w:r>
            <w:proofErr w:type="gramEnd"/>
            <w:r w:rsidRPr="00C15058">
              <w:rPr>
                <w:rFonts w:ascii="Arial" w:hAnsi="Arial" w:cs="Arial"/>
                <w:bCs/>
              </w:rPr>
              <w:t xml:space="preserve"> clinic presenting with multiple joint pain. Her concern was she liked to exercise but a gradual onset of bilateral wrist, hand, </w:t>
            </w:r>
            <w:proofErr w:type="gramStart"/>
            <w:r w:rsidRPr="00C15058">
              <w:rPr>
                <w:rFonts w:ascii="Arial" w:hAnsi="Arial" w:cs="Arial"/>
                <w:bCs/>
              </w:rPr>
              <w:t>knee</w:t>
            </w:r>
            <w:proofErr w:type="gramEnd"/>
            <w:r w:rsidRPr="00C15058">
              <w:rPr>
                <w:rFonts w:ascii="Arial" w:hAnsi="Arial" w:cs="Arial"/>
                <w:bCs/>
              </w:rPr>
              <w:t xml:space="preserve"> and foot pain was limiting this. It had been on-going for years but perhaps worse more recently after taking up exercise again after a break from this. Symptoms varied in location each day. There were no inflammatory signs or symptoms, other than a rash that flares and settles in various locations. The patient attributed this to reintroducing certain foods into her diet after recent anorexia intervention, but she could not be sure and had not sought medical advice. There were no other connective tissue disorder signs. Her symptoms seemed to be worse with activity, they did not affect her sleep. </w:t>
            </w:r>
          </w:p>
          <w:p w14:paraId="10AE75FE" w14:textId="77777777" w:rsidR="00C15058" w:rsidRPr="00C15058" w:rsidRDefault="00C15058" w:rsidP="00C15058">
            <w:pPr>
              <w:rPr>
                <w:rFonts w:ascii="Arial" w:hAnsi="Arial" w:cs="Arial"/>
                <w:bCs/>
              </w:rPr>
            </w:pPr>
            <w:r w:rsidRPr="00C15058">
              <w:rPr>
                <w:rFonts w:ascii="Arial" w:hAnsi="Arial" w:cs="Arial"/>
                <w:bCs/>
              </w:rPr>
              <w:t>During the consultation, the patient disclosed she had recently been discharged from the local eating disorder service after management of anorexia. Her weight and mental health were stable at present but had been discharged due to missing appointments. It had been agreed her weight was stable and in range for discharge. The patient described multiple life traumas which had led to the eating disorder. The last advice on exercise given was to avoid this due to the risk of weight loss. The patient felt she used exercise to manage her mental health.</w:t>
            </w:r>
          </w:p>
          <w:p w14:paraId="0FF14BA5" w14:textId="77777777" w:rsidR="00C15058" w:rsidRPr="00C15058" w:rsidRDefault="00C15058" w:rsidP="00C15058">
            <w:pPr>
              <w:rPr>
                <w:rFonts w:ascii="Arial" w:hAnsi="Arial" w:cs="Arial"/>
                <w:bCs/>
              </w:rPr>
            </w:pPr>
            <w:r w:rsidRPr="00C15058">
              <w:rPr>
                <w:rFonts w:ascii="Arial" w:hAnsi="Arial" w:cs="Arial"/>
                <w:bCs/>
              </w:rPr>
              <w:t xml:space="preserve">On assessment the patient presented with hypermobility and the treatment plan had to be adapted to consider the advice on avoiding exercise. Exercise is usually advised to maintain the health of the joints, improve stability and symptom management in hypermobility. </w:t>
            </w:r>
          </w:p>
          <w:p w14:paraId="36EFBF86" w14:textId="77777777" w:rsidR="00C15058" w:rsidRPr="00C15058" w:rsidRDefault="00C15058" w:rsidP="00C15058">
            <w:pPr>
              <w:rPr>
                <w:rFonts w:ascii="Arial" w:hAnsi="Arial" w:cs="Arial"/>
                <w:bCs/>
              </w:rPr>
            </w:pPr>
            <w:r w:rsidRPr="00C15058">
              <w:rPr>
                <w:rFonts w:ascii="Arial" w:hAnsi="Arial" w:cs="Arial"/>
                <w:bCs/>
              </w:rPr>
              <w:t xml:space="preserve">A discussion was had with the patient’s </w:t>
            </w:r>
            <w:proofErr w:type="gramStart"/>
            <w:r w:rsidRPr="00C15058">
              <w:rPr>
                <w:rFonts w:ascii="Arial" w:hAnsi="Arial" w:cs="Arial"/>
                <w:bCs/>
              </w:rPr>
              <w:t>GP</w:t>
            </w:r>
            <w:proofErr w:type="gramEnd"/>
            <w:r w:rsidRPr="00C15058">
              <w:rPr>
                <w:rFonts w:ascii="Arial" w:hAnsi="Arial" w:cs="Arial"/>
                <w:bCs/>
              </w:rPr>
              <w:t xml:space="preserve"> and it was agreed that while the patient felt well and was managing a healthy diet, low intensity exercise could be used to manage hypermobility and her mental health, however this was to be monitored by the GP and a re-referral to the eating disorder service would be completed as needed. A medical opinion on the rash was also to be provided by the GP.</w:t>
            </w:r>
          </w:p>
          <w:p w14:paraId="3C40A9AD" w14:textId="7237E6C6" w:rsidR="00016841" w:rsidRPr="004E01DB" w:rsidRDefault="00C15058" w:rsidP="00C15058">
            <w:r w:rsidRPr="00C15058">
              <w:rPr>
                <w:rFonts w:ascii="Arial" w:hAnsi="Arial" w:cs="Arial"/>
                <w:bCs/>
              </w:rPr>
              <w:t>It was noted recent bloods (FBC, Iron, Folate, B12, Thyroid and HLA-B27, Anti-CCP, CRP and ANA) were all normal.</w:t>
            </w:r>
          </w:p>
        </w:tc>
      </w:tr>
      <w:tr w:rsidR="00016841" w14:paraId="6D26E65A" w14:textId="77777777" w:rsidTr="00016841">
        <w:trPr>
          <w:trHeight w:val="744"/>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9F1AA37" w14:textId="77777777" w:rsidR="00016841" w:rsidRPr="00E8331D" w:rsidRDefault="00016841" w:rsidP="00016841">
            <w:pPr>
              <w:rPr>
                <w:rFonts w:ascii="Arial" w:hAnsi="Arial" w:cs="Arial"/>
                <w:b/>
                <w:bCs/>
              </w:rPr>
            </w:pPr>
            <w:r w:rsidRPr="00E8331D">
              <w:rPr>
                <w:rFonts w:ascii="Arial" w:hAnsi="Arial" w:cs="Arial"/>
                <w:b/>
                <w:bCs/>
              </w:rPr>
              <w:t>Differential diagnoses and clinical reasoning:</w:t>
            </w:r>
          </w:p>
          <w:p w14:paraId="3205C289" w14:textId="77777777" w:rsidR="00C15058" w:rsidRPr="00C15058" w:rsidRDefault="00C15058" w:rsidP="00C15058">
            <w:pPr>
              <w:rPr>
                <w:rFonts w:ascii="Arial" w:hAnsi="Arial" w:cs="Arial"/>
                <w:bCs/>
              </w:rPr>
            </w:pPr>
            <w:r w:rsidRPr="00C15058">
              <w:rPr>
                <w:rFonts w:ascii="Arial" w:hAnsi="Arial" w:cs="Arial"/>
                <w:bCs/>
              </w:rPr>
              <w:t xml:space="preserve">Hypermobility- based on assessment of hypermobile joints. Beighton’s scale was used but this does not assess the TMJ, cervical spine, shoulders, </w:t>
            </w:r>
            <w:proofErr w:type="gramStart"/>
            <w:r w:rsidRPr="00C15058">
              <w:rPr>
                <w:rFonts w:ascii="Arial" w:hAnsi="Arial" w:cs="Arial"/>
                <w:bCs/>
              </w:rPr>
              <w:t>hips</w:t>
            </w:r>
            <w:proofErr w:type="gramEnd"/>
            <w:r w:rsidRPr="00C15058">
              <w:rPr>
                <w:rFonts w:ascii="Arial" w:hAnsi="Arial" w:cs="Arial"/>
                <w:bCs/>
              </w:rPr>
              <w:t xml:space="preserve"> or ankles.</w:t>
            </w:r>
          </w:p>
          <w:p w14:paraId="1A9F5259" w14:textId="5885F3D1" w:rsidR="00016841" w:rsidRPr="004E01DB" w:rsidRDefault="00C15058" w:rsidP="00C15058">
            <w:pPr>
              <w:rPr>
                <w:rFonts w:ascii="Arial" w:hAnsi="Arial" w:cs="Arial"/>
              </w:rPr>
            </w:pPr>
            <w:r w:rsidRPr="00C15058">
              <w:rPr>
                <w:rFonts w:ascii="Arial" w:hAnsi="Arial" w:cs="Arial"/>
                <w:bCs/>
              </w:rPr>
              <w:t>Fibromyalgia: Based on multiple joint pain, mental health difficulties and multiple life traumas which are associated with fibromyalgia. The patient did not meet the criteria for fibromyalgia syndrome on the clinical fibromyalgia diagnostic criteria.</w:t>
            </w:r>
          </w:p>
        </w:tc>
      </w:tr>
      <w:tr w:rsidR="00016841" w14:paraId="2AD8A7A9" w14:textId="77777777" w:rsidTr="00016841">
        <w:trPr>
          <w:trHeight w:val="1261"/>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85FEDDE" w14:textId="69DD6040" w:rsidR="00016841" w:rsidRPr="00E8331D" w:rsidRDefault="00016841" w:rsidP="00016841">
            <w:pPr>
              <w:rPr>
                <w:rFonts w:ascii="Arial" w:hAnsi="Arial" w:cs="Arial"/>
                <w:b/>
                <w:bCs/>
              </w:rPr>
            </w:pPr>
            <w:r w:rsidRPr="00E8331D">
              <w:rPr>
                <w:rFonts w:ascii="Arial" w:hAnsi="Arial" w:cs="Arial"/>
                <w:b/>
                <w:bCs/>
              </w:rPr>
              <w:t>Reflection- what did you learn:</w:t>
            </w:r>
          </w:p>
          <w:p w14:paraId="340FE716" w14:textId="57952254" w:rsidR="00016841" w:rsidRDefault="00016841" w:rsidP="00016841">
            <w:pPr>
              <w:rPr>
                <w:rFonts w:ascii="Arial" w:hAnsi="Arial" w:cs="Arial"/>
                <w:bCs/>
                <w:i/>
                <w:iCs/>
              </w:rPr>
            </w:pPr>
            <w:r w:rsidRPr="00C15058">
              <w:rPr>
                <w:rFonts w:ascii="Arial" w:hAnsi="Arial" w:cs="Arial"/>
                <w:bCs/>
                <w:i/>
                <w:iCs/>
              </w:rPr>
              <w:t xml:space="preserve">Discuss what you learnt. What does this mean? What were your thoughts as you acted? What did you base your actions on? What </w:t>
            </w:r>
            <w:proofErr w:type="gramStart"/>
            <w:r w:rsidRPr="00C15058">
              <w:rPr>
                <w:rFonts w:ascii="Arial" w:hAnsi="Arial" w:cs="Arial"/>
                <w:bCs/>
                <w:i/>
                <w:iCs/>
              </w:rPr>
              <w:t>other</w:t>
            </w:r>
            <w:proofErr w:type="gramEnd"/>
            <w:r w:rsidRPr="00C15058">
              <w:rPr>
                <w:rFonts w:ascii="Arial" w:hAnsi="Arial" w:cs="Arial"/>
                <w:bCs/>
                <w:i/>
                <w:iCs/>
              </w:rPr>
              <w:t xml:space="preserve"> knowledge can I bring to the situation? What could/ should I have done to make it better? What did I do well? What is my new understanding of the situation? What are the broader issues that arise from the situation?</w:t>
            </w:r>
          </w:p>
          <w:p w14:paraId="557E2CA6" w14:textId="25E78B7E" w:rsidR="00016841" w:rsidRPr="004E01DB" w:rsidRDefault="00C15058" w:rsidP="00016841">
            <w:pPr>
              <w:rPr>
                <w:rFonts w:ascii="Arial" w:hAnsi="Arial" w:cs="Arial"/>
                <w:bCs/>
              </w:rPr>
            </w:pPr>
            <w:r>
              <w:t>I learned that it was important to check the patient’s medical history and further interrogate this, considering there had been advice on not exercising, but exercise was the required intervention to manage hypermobility. In this instance it was important to communicate with the GP and this helped the patient’s on-going management, good communication skills were useful in this scenario</w:t>
            </w:r>
          </w:p>
          <w:p w14:paraId="6483AEE0" w14:textId="77777777" w:rsidR="00016841" w:rsidRPr="004E01DB" w:rsidRDefault="00016841" w:rsidP="00016841">
            <w:pPr>
              <w:rPr>
                <w:rFonts w:ascii="Arial" w:hAnsi="Arial" w:cs="Arial"/>
              </w:rPr>
            </w:pPr>
          </w:p>
        </w:tc>
      </w:tr>
      <w:tr w:rsidR="00016841" w14:paraId="0DD2C8D5" w14:textId="77777777" w:rsidTr="00016841">
        <w:trPr>
          <w:trHeight w:val="744"/>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4A4C188" w14:textId="77777777" w:rsidR="00016841" w:rsidRPr="00E8331D" w:rsidRDefault="00016841" w:rsidP="00016841">
            <w:pPr>
              <w:rPr>
                <w:rFonts w:ascii="Arial" w:hAnsi="Arial" w:cs="Arial"/>
                <w:b/>
                <w:bCs/>
              </w:rPr>
            </w:pPr>
            <w:r w:rsidRPr="00E8331D">
              <w:rPr>
                <w:rFonts w:ascii="Arial" w:hAnsi="Arial" w:cs="Arial"/>
                <w:b/>
                <w:bCs/>
              </w:rPr>
              <w:lastRenderedPageBreak/>
              <w:t>Impact on your practice—what will you do the same or differently next time and why:</w:t>
            </w:r>
          </w:p>
          <w:p w14:paraId="17910842" w14:textId="77777777" w:rsidR="00016841" w:rsidRPr="00C15058" w:rsidRDefault="00016841" w:rsidP="00016841">
            <w:pPr>
              <w:rPr>
                <w:rFonts w:ascii="Arial" w:hAnsi="Arial" w:cs="Arial"/>
                <w:i/>
                <w:iCs/>
              </w:rPr>
            </w:pPr>
            <w:r w:rsidRPr="00C15058">
              <w:rPr>
                <w:rFonts w:ascii="Arial" w:hAnsi="Arial" w:cs="Arial"/>
                <w:i/>
                <w:iCs/>
              </w:rPr>
              <w:t>What do I need to do in future to improve future outcomes and develop your learning?</w:t>
            </w:r>
          </w:p>
          <w:p w14:paraId="31F6775C" w14:textId="77777777" w:rsidR="00016841" w:rsidRPr="00C15058" w:rsidRDefault="00016841" w:rsidP="00016841">
            <w:pPr>
              <w:rPr>
                <w:rFonts w:ascii="Arial" w:hAnsi="Arial" w:cs="Arial"/>
                <w:i/>
                <w:iCs/>
              </w:rPr>
            </w:pPr>
            <w:r w:rsidRPr="00C15058">
              <w:rPr>
                <w:rFonts w:ascii="Arial" w:hAnsi="Arial" w:cs="Arial"/>
                <w:i/>
                <w:iCs/>
              </w:rPr>
              <w:t>How might that change the outcome of the situation next time?</w:t>
            </w:r>
          </w:p>
          <w:p w14:paraId="68756755" w14:textId="3D63C550" w:rsidR="00016841" w:rsidRPr="00C15058" w:rsidRDefault="00016841" w:rsidP="00016841">
            <w:pPr>
              <w:rPr>
                <w:rFonts w:ascii="Arial" w:hAnsi="Arial" w:cs="Arial"/>
                <w:i/>
                <w:iCs/>
              </w:rPr>
            </w:pPr>
            <w:r w:rsidRPr="00C15058">
              <w:rPr>
                <w:rFonts w:ascii="Arial" w:hAnsi="Arial" w:cs="Arial"/>
                <w:i/>
                <w:iCs/>
              </w:rPr>
              <w:t>What time frame will you do it in?</w:t>
            </w:r>
          </w:p>
          <w:p w14:paraId="7B0A12F3" w14:textId="77777777" w:rsidR="00016841" w:rsidRDefault="00016841" w:rsidP="00016841">
            <w:pPr>
              <w:rPr>
                <w:rFonts w:ascii="Arial" w:hAnsi="Arial" w:cs="Arial"/>
              </w:rPr>
            </w:pPr>
          </w:p>
          <w:p w14:paraId="4C85E3C5" w14:textId="7311DB30" w:rsidR="00016841" w:rsidRDefault="00C15058" w:rsidP="00016841">
            <w:pPr>
              <w:rPr>
                <w:rFonts w:ascii="Arial" w:hAnsi="Arial" w:cs="Arial"/>
              </w:rPr>
            </w:pPr>
            <w:r w:rsidRPr="00C15058">
              <w:rPr>
                <w:rFonts w:ascii="Arial" w:hAnsi="Arial" w:cs="Arial"/>
              </w:rPr>
              <w:t>I will continue to communicate with the GP when medical management or previous advice may affect the management of MSK pathologies. This means I will continue to provide safe care.</w:t>
            </w:r>
          </w:p>
          <w:p w14:paraId="477FE132" w14:textId="77777777" w:rsidR="00016841" w:rsidRDefault="00016841" w:rsidP="00016841">
            <w:pPr>
              <w:rPr>
                <w:rFonts w:ascii="Arial" w:hAnsi="Arial" w:cs="Arial"/>
              </w:rPr>
            </w:pPr>
          </w:p>
          <w:p w14:paraId="0FEF12D5" w14:textId="77777777" w:rsidR="00016841" w:rsidRDefault="00016841" w:rsidP="00016841">
            <w:pPr>
              <w:rPr>
                <w:rFonts w:ascii="Arial" w:hAnsi="Arial" w:cs="Arial"/>
              </w:rPr>
            </w:pPr>
          </w:p>
          <w:p w14:paraId="61B23CC9" w14:textId="77777777" w:rsidR="00016841" w:rsidRPr="00E918E8" w:rsidRDefault="00016841" w:rsidP="00016841">
            <w:pPr>
              <w:rPr>
                <w:rFonts w:ascii="Arial" w:hAnsi="Arial" w:cs="Arial"/>
              </w:rPr>
            </w:pPr>
          </w:p>
        </w:tc>
      </w:tr>
      <w:tr w:rsidR="00016841" w14:paraId="15E0694C" w14:textId="77777777" w:rsidTr="00016841">
        <w:trPr>
          <w:trHeight w:val="702"/>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5F75D0" w14:textId="7BFA82F7" w:rsidR="00016841" w:rsidRPr="00E8331D" w:rsidRDefault="00016841" w:rsidP="00016841">
            <w:pPr>
              <w:rPr>
                <w:rFonts w:ascii="Arial" w:hAnsi="Arial" w:cs="Arial"/>
                <w:b/>
                <w:bCs/>
              </w:rPr>
            </w:pPr>
            <w:r w:rsidRPr="00E8331D">
              <w:rPr>
                <w:rFonts w:ascii="Arial" w:hAnsi="Arial" w:cs="Arial"/>
                <w:b/>
                <w:bCs/>
              </w:rPr>
              <w:t>Supervisor’s comments- competencies demonstrated, learning points:</w:t>
            </w:r>
          </w:p>
          <w:p w14:paraId="05378EA6" w14:textId="77777777" w:rsidR="00016841" w:rsidRDefault="00016841" w:rsidP="00016841">
            <w:pPr>
              <w:rPr>
                <w:rFonts w:ascii="Arial" w:hAnsi="Arial" w:cs="Arial"/>
                <w:bCs/>
              </w:rPr>
            </w:pPr>
          </w:p>
          <w:p w14:paraId="3B0A1FE2" w14:textId="77777777" w:rsidR="00C15058" w:rsidRPr="00C15058" w:rsidRDefault="00C15058" w:rsidP="00C15058">
            <w:pPr>
              <w:rPr>
                <w:rFonts w:ascii="Arial" w:hAnsi="Arial" w:cs="Arial"/>
                <w:bCs/>
              </w:rPr>
            </w:pPr>
            <w:r w:rsidRPr="00C15058">
              <w:rPr>
                <w:rFonts w:ascii="Arial" w:hAnsi="Arial" w:cs="Arial"/>
                <w:bCs/>
              </w:rPr>
              <w:t xml:space="preserve">Comprehensive management of a complex case where you involve the wider MDT and use your leadership abilities to influence patient management. Knowledge of the underpinning evidence base surrounding </w:t>
            </w:r>
            <w:proofErr w:type="spellStart"/>
            <w:r w:rsidRPr="00C15058">
              <w:rPr>
                <w:rFonts w:ascii="Arial" w:hAnsi="Arial" w:cs="Arial"/>
                <w:bCs/>
              </w:rPr>
              <w:t>Beightons</w:t>
            </w:r>
            <w:proofErr w:type="spellEnd"/>
            <w:r w:rsidRPr="00C15058">
              <w:rPr>
                <w:rFonts w:ascii="Arial" w:hAnsi="Arial" w:cs="Arial"/>
                <w:bCs/>
              </w:rPr>
              <w:t xml:space="preserve"> and FBM classification shown. Rehabilitative interventions for hypermobility adapted in this case shown to an advanced level to help long term condition management.</w:t>
            </w:r>
          </w:p>
          <w:p w14:paraId="0E75F3FA" w14:textId="77777777" w:rsidR="00C15058" w:rsidRPr="00C15058" w:rsidRDefault="00C15058" w:rsidP="00C15058">
            <w:pPr>
              <w:rPr>
                <w:rFonts w:ascii="Arial" w:hAnsi="Arial" w:cs="Arial"/>
                <w:bCs/>
              </w:rPr>
            </w:pPr>
          </w:p>
          <w:p w14:paraId="5E1D6D40" w14:textId="77777777" w:rsidR="00C15058" w:rsidRPr="00C15058" w:rsidRDefault="00C15058" w:rsidP="00C15058">
            <w:pPr>
              <w:rPr>
                <w:rFonts w:ascii="Arial" w:hAnsi="Arial" w:cs="Arial"/>
                <w:bCs/>
              </w:rPr>
            </w:pPr>
            <w:r w:rsidRPr="00C15058">
              <w:rPr>
                <w:rFonts w:ascii="Arial" w:hAnsi="Arial" w:cs="Arial"/>
                <w:bCs/>
              </w:rPr>
              <w:t xml:space="preserve">What were the other connective tissue disorder you were thinking about here and what questioning would have excluded </w:t>
            </w:r>
            <w:proofErr w:type="gramStart"/>
            <w:r w:rsidRPr="00C15058">
              <w:rPr>
                <w:rFonts w:ascii="Arial" w:hAnsi="Arial" w:cs="Arial"/>
                <w:bCs/>
              </w:rPr>
              <w:t>them.</w:t>
            </w:r>
            <w:proofErr w:type="gramEnd"/>
            <w:r w:rsidRPr="00C15058">
              <w:rPr>
                <w:rFonts w:ascii="Arial" w:hAnsi="Arial" w:cs="Arial"/>
                <w:bCs/>
              </w:rPr>
              <w:t xml:space="preserve"> Think a </w:t>
            </w:r>
            <w:proofErr w:type="gramStart"/>
            <w:r w:rsidRPr="00C15058">
              <w:rPr>
                <w:rFonts w:ascii="Arial" w:hAnsi="Arial" w:cs="Arial"/>
                <w:bCs/>
              </w:rPr>
              <w:t>systems based</w:t>
            </w:r>
            <w:proofErr w:type="gramEnd"/>
            <w:r w:rsidRPr="00C15058">
              <w:rPr>
                <w:rFonts w:ascii="Arial" w:hAnsi="Arial" w:cs="Arial"/>
                <w:bCs/>
              </w:rPr>
              <w:t xml:space="preserve"> approach for conditions such as EDS, Lupus etc.  </w:t>
            </w:r>
          </w:p>
          <w:p w14:paraId="29F50944" w14:textId="77777777" w:rsidR="00C15058" w:rsidRPr="00C15058" w:rsidRDefault="00C15058" w:rsidP="00C15058">
            <w:pPr>
              <w:rPr>
                <w:rFonts w:ascii="Arial" w:hAnsi="Arial" w:cs="Arial"/>
                <w:bCs/>
              </w:rPr>
            </w:pPr>
          </w:p>
          <w:p w14:paraId="3B390461" w14:textId="6D46FC57" w:rsidR="00016841" w:rsidRPr="00E918E8" w:rsidRDefault="00C15058" w:rsidP="00016841">
            <w:pPr>
              <w:rPr>
                <w:rFonts w:ascii="Arial" w:hAnsi="Arial" w:cs="Arial"/>
                <w:bCs/>
              </w:rPr>
            </w:pPr>
            <w:r w:rsidRPr="00C15058">
              <w:rPr>
                <w:rFonts w:ascii="Arial" w:hAnsi="Arial" w:cs="Arial"/>
                <w:bCs/>
              </w:rPr>
              <w:t>A1-2. B3,4. C6, 7, 11, 13. D14.</w:t>
            </w:r>
          </w:p>
          <w:p w14:paraId="1569C612" w14:textId="77777777" w:rsidR="00016841" w:rsidRPr="00E918E8" w:rsidRDefault="00016841" w:rsidP="00016841">
            <w:pPr>
              <w:rPr>
                <w:rFonts w:ascii="Arial" w:hAnsi="Arial" w:cs="Arial"/>
                <w:bCs/>
              </w:rPr>
            </w:pPr>
          </w:p>
        </w:tc>
      </w:tr>
    </w:tbl>
    <w:p w14:paraId="22A27D07" w14:textId="77777777" w:rsidR="004E01DB" w:rsidRDefault="004E01DB" w:rsidP="00016841">
      <w:pPr>
        <w:rPr>
          <w:rFonts w:ascii="Arial" w:hAnsi="Arial" w:cs="Arial"/>
          <w:shd w:val="clear" w:color="auto" w:fill="FAF9F8"/>
        </w:rPr>
      </w:pPr>
    </w:p>
    <w:sectPr w:rsidR="004E01DB" w:rsidSect="00620414">
      <w:headerReference w:type="default" r:id="rId10"/>
      <w:footerReference w:type="default" r:id="rId11"/>
      <w:pgSz w:w="11906" w:h="16838"/>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906B" w14:textId="77777777" w:rsidR="009F01A8" w:rsidRDefault="009F01A8" w:rsidP="004E01DB">
      <w:r>
        <w:separator/>
      </w:r>
    </w:p>
  </w:endnote>
  <w:endnote w:type="continuationSeparator" w:id="0">
    <w:p w14:paraId="5D6F41D8" w14:textId="77777777" w:rsidR="009F01A8" w:rsidRDefault="009F01A8" w:rsidP="004E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D851" w14:textId="211F6526" w:rsidR="004E01DB" w:rsidRDefault="004E01DB">
    <w:pPr>
      <w:pStyle w:val="Footer"/>
    </w:pPr>
    <w:r>
      <w:rPr>
        <w:noProof/>
        <w:lang w:eastAsia="en-GB"/>
      </w:rPr>
      <w:drawing>
        <wp:inline distT="0" distB="0" distL="0" distR="0" wp14:anchorId="4C78153B" wp14:editId="6816977F">
          <wp:extent cx="2000250" cy="33642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2147377" cy="3611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6829" w14:textId="77777777" w:rsidR="009F01A8" w:rsidRDefault="009F01A8" w:rsidP="004E01DB">
      <w:r>
        <w:separator/>
      </w:r>
    </w:p>
  </w:footnote>
  <w:footnote w:type="continuationSeparator" w:id="0">
    <w:p w14:paraId="6159F45D" w14:textId="77777777" w:rsidR="009F01A8" w:rsidRDefault="009F01A8" w:rsidP="004E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2C59" w14:textId="3450BDDF" w:rsidR="00620414" w:rsidRDefault="00620414" w:rsidP="00620414">
    <w:pPr>
      <w:pStyle w:val="Header"/>
      <w:jc w:val="center"/>
    </w:pPr>
    <w:r>
      <w:t>Appendix 4</w:t>
    </w:r>
  </w:p>
  <w:p w14:paraId="2862D9FF" w14:textId="77777777" w:rsidR="00620414" w:rsidRDefault="00620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74F2D"/>
    <w:multiLevelType w:val="hybridMultilevel"/>
    <w:tmpl w:val="2B9A253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331"/>
    <w:rsid w:val="00016841"/>
    <w:rsid w:val="001C7C5F"/>
    <w:rsid w:val="00275048"/>
    <w:rsid w:val="004E01DB"/>
    <w:rsid w:val="00620414"/>
    <w:rsid w:val="0083561F"/>
    <w:rsid w:val="009F01A8"/>
    <w:rsid w:val="00A65331"/>
    <w:rsid w:val="00B45F66"/>
    <w:rsid w:val="00C15058"/>
    <w:rsid w:val="00C64BD6"/>
    <w:rsid w:val="00E8331D"/>
    <w:rsid w:val="00E918E8"/>
    <w:rsid w:val="00F33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53546"/>
  <w15:chartTrackingRefBased/>
  <w15:docId w15:val="{A9E77021-F509-4276-AFF1-043FCB2D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33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31"/>
    <w:pPr>
      <w:ind w:left="720"/>
      <w:contextualSpacing/>
    </w:pPr>
  </w:style>
  <w:style w:type="table" w:styleId="TableGrid">
    <w:name w:val="Table Grid"/>
    <w:basedOn w:val="TableNormal"/>
    <w:uiPriority w:val="39"/>
    <w:rsid w:val="00A653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1DB"/>
    <w:pPr>
      <w:tabs>
        <w:tab w:val="center" w:pos="4513"/>
        <w:tab w:val="right" w:pos="9026"/>
      </w:tabs>
    </w:pPr>
  </w:style>
  <w:style w:type="character" w:customStyle="1" w:styleId="HeaderChar">
    <w:name w:val="Header Char"/>
    <w:basedOn w:val="DefaultParagraphFont"/>
    <w:link w:val="Header"/>
    <w:uiPriority w:val="99"/>
    <w:rsid w:val="004E01DB"/>
    <w:rPr>
      <w:sz w:val="24"/>
      <w:szCs w:val="24"/>
    </w:rPr>
  </w:style>
  <w:style w:type="paragraph" w:styleId="Footer">
    <w:name w:val="footer"/>
    <w:basedOn w:val="Normal"/>
    <w:link w:val="FooterChar"/>
    <w:uiPriority w:val="99"/>
    <w:unhideWhenUsed/>
    <w:rsid w:val="004E01DB"/>
    <w:pPr>
      <w:tabs>
        <w:tab w:val="center" w:pos="4513"/>
        <w:tab w:val="right" w:pos="9026"/>
      </w:tabs>
    </w:pPr>
  </w:style>
  <w:style w:type="character" w:customStyle="1" w:styleId="FooterChar">
    <w:name w:val="Footer Char"/>
    <w:basedOn w:val="DefaultParagraphFont"/>
    <w:link w:val="Footer"/>
    <w:uiPriority w:val="99"/>
    <w:rsid w:val="004E01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7" ma:contentTypeDescription="Create a new document." ma:contentTypeScope="" ma:versionID="d7eca582f9318c32c427524b673793b1">
  <xsd:schema xmlns:xsd="http://www.w3.org/2001/XMLSchema" xmlns:xs="http://www.w3.org/2001/XMLSchema" xmlns:p="http://schemas.microsoft.com/office/2006/metadata/properties" xmlns:ns3="32678723-8c06-45e1-8bd0-318b9868a43d" xmlns:ns4="5789755c-de38-4fe3-9623-40afa3bba1e2" targetNamespace="http://schemas.microsoft.com/office/2006/metadata/properties" ma:root="true" ma:fieldsID="dc857f9ec46dcf65fa66e74f85275ed4" ns3:_="" ns4:_="">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7C670-BE1F-4E57-B9D7-6B0A743BC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D942A-AE7B-45DA-94BE-06A24BAEDC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E4AFFC-83EE-47E2-A51C-7D6A5A0CC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Faye (NHS HULL CCG)</dc:creator>
  <cp:keywords/>
  <dc:description/>
  <cp:lastModifiedBy>ABRAMSON, Darren (NHS HULL CCG)</cp:lastModifiedBy>
  <cp:revision>2</cp:revision>
  <dcterms:created xsi:type="dcterms:W3CDTF">2022-03-18T16:35:00Z</dcterms:created>
  <dcterms:modified xsi:type="dcterms:W3CDTF">2022-03-18T16:35:00Z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